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17978" w14:textId="77777777" w:rsidR="009B7631" w:rsidRPr="009B7631" w:rsidRDefault="003317E7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>
        <w:rPr>
          <w:rFonts w:asciiTheme="majorHAnsi" w:hAnsiTheme="majorHAnsi" w:cstheme="minorHAnsi"/>
          <w:b/>
          <w:sz w:val="28"/>
          <w:szCs w:val="28"/>
          <w:u w:val="single"/>
        </w:rPr>
        <w:t xml:space="preserve">Provider Checklist-Outpatient </w:t>
      </w:r>
      <w:r w:rsidR="00701EA3">
        <w:rPr>
          <w:rFonts w:asciiTheme="majorHAnsi" w:hAnsiTheme="majorHAnsi" w:cstheme="minorHAnsi"/>
          <w:b/>
          <w:sz w:val="28"/>
          <w:szCs w:val="28"/>
          <w:u w:val="single"/>
        </w:rPr>
        <w:t>Rehab</w:t>
      </w:r>
    </w:p>
    <w:p w14:paraId="652DB3F4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55D7CCC" w14:textId="77777777" w:rsidR="00586E8B" w:rsidRDefault="005936A1" w:rsidP="00736FEA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>Checklist</w:t>
      </w:r>
      <w:r w:rsidRPr="003317E7">
        <w:rPr>
          <w:rFonts w:asciiTheme="majorHAnsi" w:hAnsiTheme="majorHAnsi"/>
          <w:b/>
          <w:sz w:val="28"/>
          <w:szCs w:val="28"/>
        </w:rPr>
        <w:t>:</w:t>
      </w:r>
      <w:r w:rsidR="003317E7" w:rsidRPr="003317E7">
        <w:rPr>
          <w:rFonts w:asciiTheme="majorHAnsi" w:hAnsiTheme="majorHAnsi" w:cstheme="minorHAnsi"/>
          <w:b/>
          <w:sz w:val="28"/>
          <w:szCs w:val="28"/>
        </w:rPr>
        <w:t xml:space="preserve"> Cardiac </w:t>
      </w:r>
      <w:r w:rsidR="00586E8B" w:rsidRPr="00586E8B">
        <w:rPr>
          <w:rFonts w:asciiTheme="majorHAnsi" w:hAnsiTheme="majorHAnsi"/>
          <w:b/>
          <w:sz w:val="28"/>
          <w:szCs w:val="28"/>
        </w:rPr>
        <w:t xml:space="preserve">Rehabilitation  </w:t>
      </w:r>
    </w:p>
    <w:p w14:paraId="0E8959D5" w14:textId="77777777" w:rsidR="00736FEA" w:rsidRPr="00736FEA" w:rsidRDefault="003317E7" w:rsidP="00736FEA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Post</w:t>
      </w:r>
      <w:r w:rsidR="00586E8B" w:rsidRPr="00586E8B">
        <w:rPr>
          <w:rFonts w:asciiTheme="majorHAnsi" w:hAnsiTheme="majorHAnsi"/>
          <w:b/>
          <w:sz w:val="28"/>
          <w:szCs w:val="28"/>
        </w:rPr>
        <w:t xml:space="preserve"> Evaluation</w:t>
      </w:r>
    </w:p>
    <w:p w14:paraId="4647EAF0" w14:textId="77777777" w:rsidR="00DE757F" w:rsidRPr="00736FEA" w:rsidRDefault="00DE757F" w:rsidP="00736FEA">
      <w:pPr>
        <w:jc w:val="center"/>
        <w:rPr>
          <w:rFonts w:asciiTheme="majorHAnsi" w:hAnsiTheme="majorHAnsi"/>
          <w:b/>
          <w:sz w:val="24"/>
          <w:szCs w:val="24"/>
        </w:rPr>
      </w:pPr>
    </w:p>
    <w:p w14:paraId="500CD99F" w14:textId="77777777" w:rsidR="003317E7" w:rsidRPr="00B061E8" w:rsidRDefault="003317E7" w:rsidP="003317E7">
      <w:pPr>
        <w:ind w:left="360"/>
      </w:pPr>
    </w:p>
    <w:p w14:paraId="180579D6" w14:textId="77777777" w:rsidR="003317E7" w:rsidRPr="003317E7" w:rsidRDefault="003317E7" w:rsidP="003317E7">
      <w:pPr>
        <w:ind w:left="36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sz w:val="24"/>
          <w:szCs w:val="24"/>
        </w:rPr>
        <w:t>Required Clinical Documentation submitted after Eval visit</w:t>
      </w:r>
    </w:p>
    <w:p w14:paraId="251FCEC0" w14:textId="77777777" w:rsidR="003317E7" w:rsidRPr="003317E7" w:rsidRDefault="003317E7" w:rsidP="003317E7">
      <w:pPr>
        <w:ind w:left="360"/>
        <w:rPr>
          <w:rFonts w:asciiTheme="majorHAnsi" w:hAnsiTheme="majorHAnsi"/>
          <w:sz w:val="24"/>
          <w:szCs w:val="24"/>
        </w:rPr>
      </w:pPr>
    </w:p>
    <w:p w14:paraId="504B6494" w14:textId="77777777" w:rsidR="003317E7" w:rsidRPr="003317E7" w:rsidRDefault="003317E7" w:rsidP="003317E7">
      <w:pPr>
        <w:ind w:left="72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sz w:val="24"/>
          <w:szCs w:val="24"/>
        </w:rPr>
        <w:t xml:space="preserve">medical evaluation, </w:t>
      </w:r>
    </w:p>
    <w:p w14:paraId="775E70E2" w14:textId="77777777" w:rsidR="003317E7" w:rsidRPr="003317E7" w:rsidRDefault="003317E7" w:rsidP="003317E7">
      <w:pPr>
        <w:ind w:left="72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sz w:val="24"/>
          <w:szCs w:val="24"/>
        </w:rPr>
        <w:t xml:space="preserve">prescribed exercise, </w:t>
      </w:r>
    </w:p>
    <w:p w14:paraId="7D1D7640" w14:textId="77777777" w:rsidR="003317E7" w:rsidRPr="003317E7" w:rsidRDefault="003317E7" w:rsidP="003317E7">
      <w:pPr>
        <w:ind w:left="72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sz w:val="24"/>
          <w:szCs w:val="24"/>
        </w:rPr>
        <w:t xml:space="preserve">cardiac risk factor modification, </w:t>
      </w:r>
    </w:p>
    <w:p w14:paraId="6E4E61AB" w14:textId="77777777" w:rsidR="003317E7" w:rsidRPr="003317E7" w:rsidRDefault="003317E7" w:rsidP="003317E7">
      <w:pPr>
        <w:ind w:left="72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sz w:val="24"/>
          <w:szCs w:val="24"/>
        </w:rPr>
        <w:t xml:space="preserve">established patient goals based on medical evaluation and identified risk </w:t>
      </w:r>
      <w:proofErr w:type="gramStart"/>
      <w:r w:rsidRPr="003317E7">
        <w:rPr>
          <w:rFonts w:asciiTheme="majorHAnsi" w:hAnsiTheme="majorHAnsi"/>
          <w:sz w:val="24"/>
          <w:szCs w:val="24"/>
        </w:rPr>
        <w:t>factors;:</w:t>
      </w:r>
      <w:proofErr w:type="gramEnd"/>
      <w:r w:rsidRPr="003317E7">
        <w:rPr>
          <w:rFonts w:asciiTheme="majorHAnsi" w:hAnsiTheme="majorHAnsi"/>
          <w:sz w:val="24"/>
          <w:szCs w:val="24"/>
        </w:rPr>
        <w:t xml:space="preserve"> </w:t>
      </w:r>
    </w:p>
    <w:p w14:paraId="5005D707" w14:textId="77777777" w:rsidR="003317E7" w:rsidRPr="003317E7" w:rsidRDefault="003317E7" w:rsidP="003317E7">
      <w:pPr>
        <w:ind w:left="72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sz w:val="24"/>
          <w:szCs w:val="24"/>
        </w:rPr>
        <w:t xml:space="preserve">development individualized interventions, including education and counseling components per </w:t>
      </w:r>
      <w:proofErr w:type="gramStart"/>
      <w:r w:rsidRPr="003317E7">
        <w:rPr>
          <w:rFonts w:asciiTheme="majorHAnsi" w:hAnsiTheme="majorHAnsi"/>
          <w:sz w:val="24"/>
          <w:szCs w:val="24"/>
        </w:rPr>
        <w:t>goal;</w:t>
      </w:r>
      <w:proofErr w:type="gramEnd"/>
    </w:p>
    <w:p w14:paraId="0B1715C4" w14:textId="77777777" w:rsidR="003317E7" w:rsidRPr="003317E7" w:rsidRDefault="003317E7" w:rsidP="003317E7">
      <w:pPr>
        <w:ind w:left="72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sz w:val="24"/>
          <w:szCs w:val="24"/>
        </w:rPr>
        <w:t>demonstrated patient progress for each component of risk factor modification goals per visit, after initial set of visits authorized</w:t>
      </w:r>
    </w:p>
    <w:p w14:paraId="0FAABB1A" w14:textId="77777777" w:rsidR="003317E7" w:rsidRPr="003317E7" w:rsidRDefault="003317E7" w:rsidP="003317E7">
      <w:pPr>
        <w:ind w:left="360"/>
        <w:rPr>
          <w:rFonts w:asciiTheme="majorHAnsi" w:hAnsiTheme="majorHAnsi"/>
          <w:sz w:val="24"/>
          <w:szCs w:val="24"/>
        </w:rPr>
      </w:pPr>
    </w:p>
    <w:p w14:paraId="23D87F15" w14:textId="77777777" w:rsidR="003317E7" w:rsidRPr="003317E7" w:rsidRDefault="003317E7" w:rsidP="003317E7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T</w:t>
      </w:r>
      <w:r w:rsidRPr="003317E7">
        <w:rPr>
          <w:rFonts w:asciiTheme="majorHAnsi" w:hAnsiTheme="majorHAnsi"/>
          <w:b/>
          <w:sz w:val="24"/>
          <w:szCs w:val="24"/>
        </w:rPr>
        <w:t>imeframe:</w:t>
      </w:r>
      <w:r w:rsidRPr="003317E7">
        <w:rPr>
          <w:rFonts w:asciiTheme="majorHAnsi" w:hAnsiTheme="majorHAnsi"/>
          <w:sz w:val="24"/>
          <w:szCs w:val="24"/>
        </w:rPr>
        <w:t xml:space="preserve"> up to 36 sessions (</w:t>
      </w:r>
      <w:r w:rsidRPr="003317E7">
        <w:rPr>
          <w:rFonts w:asciiTheme="majorHAnsi" w:hAnsiTheme="majorHAnsi"/>
          <w:b/>
          <w:sz w:val="24"/>
          <w:szCs w:val="24"/>
        </w:rPr>
        <w:t>30 min visits</w:t>
      </w:r>
      <w:r w:rsidRPr="003317E7">
        <w:rPr>
          <w:rFonts w:asciiTheme="majorHAnsi" w:hAnsiTheme="majorHAnsi"/>
          <w:sz w:val="24"/>
          <w:szCs w:val="24"/>
        </w:rPr>
        <w:t>);</w:t>
      </w:r>
    </w:p>
    <w:p w14:paraId="439009AB" w14:textId="77777777" w:rsidR="003317E7" w:rsidRPr="003317E7" w:rsidRDefault="003317E7" w:rsidP="003317E7">
      <w:pPr>
        <w:ind w:left="360"/>
        <w:rPr>
          <w:rFonts w:asciiTheme="majorHAnsi" w:hAnsiTheme="majorHAnsi"/>
          <w:sz w:val="24"/>
          <w:szCs w:val="24"/>
        </w:rPr>
      </w:pPr>
    </w:p>
    <w:p w14:paraId="07CFB214" w14:textId="77777777" w:rsidR="003317E7" w:rsidRPr="003317E7" w:rsidRDefault="003317E7" w:rsidP="003317E7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</w:t>
      </w:r>
      <w:r w:rsidRPr="003317E7">
        <w:rPr>
          <w:rFonts w:asciiTheme="majorHAnsi" w:hAnsiTheme="majorHAnsi"/>
          <w:b/>
          <w:sz w:val="24"/>
          <w:szCs w:val="24"/>
        </w:rPr>
        <w:t>requency</w:t>
      </w:r>
      <w:r w:rsidRPr="003317E7">
        <w:rPr>
          <w:rFonts w:asciiTheme="majorHAnsi" w:hAnsiTheme="majorHAnsi"/>
          <w:sz w:val="24"/>
          <w:szCs w:val="24"/>
        </w:rPr>
        <w:t>: 2-3 times per week up to 18 weeks</w:t>
      </w:r>
    </w:p>
    <w:p w14:paraId="45EF4B48" w14:textId="77777777" w:rsidR="003317E7" w:rsidRPr="003317E7" w:rsidRDefault="003317E7" w:rsidP="003317E7">
      <w:pPr>
        <w:ind w:left="360"/>
        <w:rPr>
          <w:rFonts w:asciiTheme="majorHAnsi" w:hAnsiTheme="majorHAnsi"/>
          <w:sz w:val="24"/>
          <w:szCs w:val="24"/>
        </w:rPr>
      </w:pPr>
    </w:p>
    <w:p w14:paraId="0827F4D5" w14:textId="77777777" w:rsidR="003317E7" w:rsidRPr="003317E7" w:rsidRDefault="003317E7" w:rsidP="003317E7">
      <w:pPr>
        <w:ind w:left="36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sz w:val="24"/>
          <w:szCs w:val="24"/>
        </w:rPr>
        <w:t>An exercise prescription will be developed, taking into consideration the following factors:</w:t>
      </w:r>
    </w:p>
    <w:p w14:paraId="7FE84387" w14:textId="77777777" w:rsidR="003317E7" w:rsidRPr="003317E7" w:rsidRDefault="003317E7" w:rsidP="003317E7">
      <w:pPr>
        <w:numPr>
          <w:ilvl w:val="1"/>
          <w:numId w:val="23"/>
        </w:numPr>
        <w:tabs>
          <w:tab w:val="clear" w:pos="1440"/>
          <w:tab w:val="num" w:pos="1800"/>
        </w:tabs>
        <w:ind w:left="180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sz w:val="24"/>
          <w:szCs w:val="24"/>
        </w:rPr>
        <w:t xml:space="preserve">Patient's past medical history </w:t>
      </w:r>
    </w:p>
    <w:p w14:paraId="0C737C12" w14:textId="77777777" w:rsidR="003317E7" w:rsidRPr="003317E7" w:rsidRDefault="003317E7" w:rsidP="003317E7">
      <w:pPr>
        <w:numPr>
          <w:ilvl w:val="1"/>
          <w:numId w:val="23"/>
        </w:numPr>
        <w:tabs>
          <w:tab w:val="clear" w:pos="1440"/>
          <w:tab w:val="num" w:pos="1800"/>
        </w:tabs>
        <w:ind w:left="180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sz w:val="24"/>
          <w:szCs w:val="24"/>
        </w:rPr>
        <w:t xml:space="preserve">Recent cardiac or pulmonary event with symptomatology, interventions, estimated ejection fraction, complications in recovery process </w:t>
      </w:r>
    </w:p>
    <w:p w14:paraId="456B72EA" w14:textId="77777777" w:rsidR="003317E7" w:rsidRPr="003317E7" w:rsidRDefault="003317E7" w:rsidP="003317E7">
      <w:pPr>
        <w:numPr>
          <w:ilvl w:val="1"/>
          <w:numId w:val="23"/>
        </w:numPr>
        <w:tabs>
          <w:tab w:val="clear" w:pos="1440"/>
          <w:tab w:val="num" w:pos="1800"/>
        </w:tabs>
        <w:ind w:left="180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sz w:val="24"/>
          <w:szCs w:val="24"/>
        </w:rPr>
        <w:t xml:space="preserve">Risk factor identification </w:t>
      </w:r>
    </w:p>
    <w:p w14:paraId="46245393" w14:textId="77777777" w:rsidR="003317E7" w:rsidRPr="003317E7" w:rsidRDefault="003317E7" w:rsidP="003317E7">
      <w:pPr>
        <w:numPr>
          <w:ilvl w:val="1"/>
          <w:numId w:val="23"/>
        </w:numPr>
        <w:tabs>
          <w:tab w:val="clear" w:pos="1440"/>
          <w:tab w:val="num" w:pos="1800"/>
        </w:tabs>
        <w:ind w:left="180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sz w:val="24"/>
          <w:szCs w:val="24"/>
        </w:rPr>
        <w:t xml:space="preserve">Current medications, oxygen use </w:t>
      </w:r>
    </w:p>
    <w:p w14:paraId="7AA6FCB3" w14:textId="77777777" w:rsidR="003317E7" w:rsidRPr="003317E7" w:rsidRDefault="003317E7" w:rsidP="003317E7">
      <w:pPr>
        <w:numPr>
          <w:ilvl w:val="1"/>
          <w:numId w:val="23"/>
        </w:numPr>
        <w:tabs>
          <w:tab w:val="clear" w:pos="1440"/>
          <w:tab w:val="num" w:pos="1800"/>
        </w:tabs>
        <w:ind w:left="180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sz w:val="24"/>
          <w:szCs w:val="24"/>
        </w:rPr>
        <w:t xml:space="preserve">Past exercise history </w:t>
      </w:r>
    </w:p>
    <w:p w14:paraId="7339581C" w14:textId="77777777" w:rsidR="003317E7" w:rsidRPr="003317E7" w:rsidRDefault="003317E7" w:rsidP="003317E7">
      <w:pPr>
        <w:numPr>
          <w:ilvl w:val="1"/>
          <w:numId w:val="23"/>
        </w:numPr>
        <w:tabs>
          <w:tab w:val="clear" w:pos="1440"/>
          <w:tab w:val="num" w:pos="1800"/>
        </w:tabs>
        <w:ind w:left="180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sz w:val="24"/>
          <w:szCs w:val="24"/>
        </w:rPr>
        <w:t xml:space="preserve">Exercise history since cardiac event </w:t>
      </w:r>
    </w:p>
    <w:p w14:paraId="79F61863" w14:textId="77777777" w:rsidR="003317E7" w:rsidRPr="003317E7" w:rsidRDefault="003317E7" w:rsidP="003317E7">
      <w:pPr>
        <w:numPr>
          <w:ilvl w:val="1"/>
          <w:numId w:val="23"/>
        </w:numPr>
        <w:tabs>
          <w:tab w:val="clear" w:pos="1440"/>
          <w:tab w:val="num" w:pos="1800"/>
        </w:tabs>
        <w:ind w:left="180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sz w:val="24"/>
          <w:szCs w:val="24"/>
        </w:rPr>
        <w:t xml:space="preserve">Orthopedic impairments </w:t>
      </w:r>
    </w:p>
    <w:p w14:paraId="711295A8" w14:textId="77777777" w:rsidR="003317E7" w:rsidRPr="003317E7" w:rsidRDefault="003317E7" w:rsidP="003317E7">
      <w:pPr>
        <w:numPr>
          <w:ilvl w:val="1"/>
          <w:numId w:val="23"/>
        </w:numPr>
        <w:tabs>
          <w:tab w:val="clear" w:pos="1440"/>
          <w:tab w:val="num" w:pos="1800"/>
        </w:tabs>
        <w:ind w:left="180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sz w:val="24"/>
          <w:szCs w:val="24"/>
        </w:rPr>
        <w:t xml:space="preserve">Barriers to learning </w:t>
      </w:r>
    </w:p>
    <w:p w14:paraId="71044C6F" w14:textId="77777777" w:rsidR="003317E7" w:rsidRPr="003317E7" w:rsidRDefault="003317E7" w:rsidP="003317E7">
      <w:pPr>
        <w:numPr>
          <w:ilvl w:val="1"/>
          <w:numId w:val="23"/>
        </w:numPr>
        <w:tabs>
          <w:tab w:val="clear" w:pos="1440"/>
          <w:tab w:val="num" w:pos="1800"/>
        </w:tabs>
        <w:ind w:left="180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sz w:val="24"/>
          <w:szCs w:val="24"/>
        </w:rPr>
        <w:t>Vocational and leisure time activities</w:t>
      </w:r>
    </w:p>
    <w:p w14:paraId="4CF528A6" w14:textId="77777777" w:rsidR="003317E7" w:rsidRPr="003317E7" w:rsidRDefault="003317E7" w:rsidP="003317E7">
      <w:pPr>
        <w:ind w:left="360"/>
        <w:rPr>
          <w:rFonts w:asciiTheme="majorHAnsi" w:hAnsiTheme="majorHAnsi"/>
          <w:sz w:val="24"/>
          <w:szCs w:val="24"/>
        </w:rPr>
      </w:pPr>
    </w:p>
    <w:p w14:paraId="7425388D" w14:textId="77777777" w:rsidR="003317E7" w:rsidRPr="003317E7" w:rsidRDefault="003317E7" w:rsidP="003317E7">
      <w:pPr>
        <w:ind w:left="36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sz w:val="24"/>
          <w:szCs w:val="24"/>
        </w:rPr>
        <w:t>An exercise prescription consists of:</w:t>
      </w:r>
    </w:p>
    <w:p w14:paraId="52F767AB" w14:textId="77777777" w:rsidR="003317E7" w:rsidRPr="003317E7" w:rsidRDefault="003317E7" w:rsidP="003317E7">
      <w:pPr>
        <w:ind w:left="360"/>
        <w:rPr>
          <w:rFonts w:asciiTheme="majorHAnsi" w:hAnsiTheme="majorHAnsi"/>
          <w:sz w:val="24"/>
          <w:szCs w:val="24"/>
        </w:rPr>
      </w:pPr>
    </w:p>
    <w:p w14:paraId="7850DB11" w14:textId="77777777" w:rsidR="003317E7" w:rsidRDefault="003317E7" w:rsidP="003317E7">
      <w:pPr>
        <w:ind w:left="72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b/>
          <w:bCs/>
          <w:sz w:val="24"/>
          <w:szCs w:val="24"/>
        </w:rPr>
        <w:t>Mode</w:t>
      </w:r>
      <w:r w:rsidRPr="003317E7">
        <w:rPr>
          <w:rFonts w:asciiTheme="majorHAnsi" w:hAnsiTheme="majorHAnsi"/>
          <w:sz w:val="24"/>
          <w:szCs w:val="24"/>
        </w:rPr>
        <w:t xml:space="preserve"> – The emphasis is aerobic exercise – continuous activity for 30 to 40 minutes, using large muscle groups. Options include treadmill, stationary bike, recumbent bike, </w:t>
      </w:r>
      <w:proofErr w:type="spellStart"/>
      <w:r w:rsidRPr="003317E7">
        <w:rPr>
          <w:rFonts w:asciiTheme="majorHAnsi" w:hAnsiTheme="majorHAnsi"/>
          <w:sz w:val="24"/>
          <w:szCs w:val="24"/>
        </w:rPr>
        <w:t>airdyne</w:t>
      </w:r>
      <w:proofErr w:type="spellEnd"/>
      <w:r w:rsidRPr="003317E7">
        <w:rPr>
          <w:rFonts w:asciiTheme="majorHAnsi" w:hAnsiTheme="majorHAnsi"/>
          <w:sz w:val="24"/>
          <w:szCs w:val="24"/>
        </w:rPr>
        <w:t xml:space="preserve"> bike, </w:t>
      </w:r>
      <w:proofErr w:type="spellStart"/>
      <w:r w:rsidRPr="003317E7">
        <w:rPr>
          <w:rFonts w:asciiTheme="majorHAnsi" w:hAnsiTheme="majorHAnsi"/>
          <w:sz w:val="24"/>
          <w:szCs w:val="24"/>
        </w:rPr>
        <w:t>Nustep</w:t>
      </w:r>
      <w:proofErr w:type="spellEnd"/>
      <w:r w:rsidRPr="003317E7">
        <w:rPr>
          <w:rFonts w:asciiTheme="majorHAnsi" w:hAnsiTheme="majorHAnsi"/>
          <w:sz w:val="24"/>
          <w:szCs w:val="24"/>
        </w:rPr>
        <w:t xml:space="preserve">, elliptical machine, upper body ergometer, </w:t>
      </w:r>
      <w:proofErr w:type="spellStart"/>
      <w:r w:rsidRPr="003317E7">
        <w:rPr>
          <w:rFonts w:asciiTheme="majorHAnsi" w:hAnsiTheme="majorHAnsi"/>
          <w:sz w:val="24"/>
          <w:szCs w:val="24"/>
        </w:rPr>
        <w:t>hallwalking</w:t>
      </w:r>
      <w:proofErr w:type="spellEnd"/>
      <w:r w:rsidRPr="003317E7">
        <w:rPr>
          <w:rFonts w:asciiTheme="majorHAnsi" w:hAnsiTheme="majorHAnsi"/>
          <w:sz w:val="24"/>
          <w:szCs w:val="24"/>
        </w:rPr>
        <w:t xml:space="preserve"> and chair aerobics. Pure isometric exercise should be minimized because it may result in LC decompensation in patients with poor left ventricular function.</w:t>
      </w:r>
    </w:p>
    <w:p w14:paraId="50F1141C" w14:textId="77777777" w:rsidR="003317E7" w:rsidRPr="003317E7" w:rsidRDefault="003317E7" w:rsidP="003317E7">
      <w:pPr>
        <w:ind w:left="720"/>
        <w:rPr>
          <w:rFonts w:asciiTheme="majorHAnsi" w:hAnsiTheme="majorHAnsi"/>
          <w:sz w:val="24"/>
          <w:szCs w:val="24"/>
        </w:rPr>
      </w:pPr>
    </w:p>
    <w:p w14:paraId="4B9D569B" w14:textId="77777777" w:rsidR="003317E7" w:rsidRPr="003317E7" w:rsidRDefault="003317E7" w:rsidP="003317E7">
      <w:pPr>
        <w:ind w:left="72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b/>
          <w:bCs/>
          <w:sz w:val="24"/>
          <w:szCs w:val="24"/>
        </w:rPr>
        <w:lastRenderedPageBreak/>
        <w:t>Frequency</w:t>
      </w:r>
      <w:r w:rsidRPr="003317E7">
        <w:rPr>
          <w:rFonts w:asciiTheme="majorHAnsi" w:hAnsiTheme="majorHAnsi"/>
          <w:sz w:val="24"/>
          <w:szCs w:val="24"/>
        </w:rPr>
        <w:t xml:space="preserve"> – Two to three times per week supervised in rehab and additional home exercise program daily.</w:t>
      </w:r>
    </w:p>
    <w:p w14:paraId="6E104961" w14:textId="77777777" w:rsidR="003317E7" w:rsidRDefault="003317E7" w:rsidP="003317E7">
      <w:pPr>
        <w:ind w:left="72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b/>
          <w:bCs/>
          <w:sz w:val="24"/>
          <w:szCs w:val="24"/>
        </w:rPr>
        <w:t>Duration</w:t>
      </w:r>
      <w:r w:rsidRPr="003317E7">
        <w:rPr>
          <w:rFonts w:asciiTheme="majorHAnsi" w:hAnsiTheme="majorHAnsi"/>
          <w:sz w:val="24"/>
          <w:szCs w:val="24"/>
        </w:rPr>
        <w:t xml:space="preserve"> – A goal of 30 to 40 minutes total including five-minute warm-up and five-minute cool-down.</w:t>
      </w:r>
    </w:p>
    <w:p w14:paraId="01DBFC9D" w14:textId="77777777" w:rsidR="003317E7" w:rsidRPr="003317E7" w:rsidRDefault="003317E7" w:rsidP="003317E7">
      <w:pPr>
        <w:ind w:left="720"/>
        <w:rPr>
          <w:rFonts w:asciiTheme="majorHAnsi" w:hAnsiTheme="majorHAnsi"/>
          <w:sz w:val="24"/>
          <w:szCs w:val="24"/>
        </w:rPr>
      </w:pPr>
    </w:p>
    <w:p w14:paraId="6F76B593" w14:textId="77777777" w:rsidR="003317E7" w:rsidRPr="003317E7" w:rsidRDefault="003317E7" w:rsidP="003317E7">
      <w:pPr>
        <w:ind w:left="72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b/>
          <w:bCs/>
          <w:sz w:val="24"/>
          <w:szCs w:val="24"/>
        </w:rPr>
        <w:t>Intensity</w:t>
      </w:r>
      <w:r w:rsidRPr="003317E7">
        <w:rPr>
          <w:rFonts w:asciiTheme="majorHAnsi" w:hAnsiTheme="majorHAnsi"/>
          <w:sz w:val="24"/>
          <w:szCs w:val="24"/>
        </w:rPr>
        <w:t xml:space="preserve"> – Initial exercise intensity will be based on diagnosis and previous exercise history. If patient is just beginning an exercise program, initial training will usually range from two-three METs (i.e., two-three miles per hour, 0% grade on treadmill, or 25 to 50 watts on bicycle). In patients with an angina threshold of two-three METs, exercise training may not be appropriate.</w:t>
      </w:r>
    </w:p>
    <w:p w14:paraId="3820BE7E" w14:textId="77777777" w:rsidR="003317E7" w:rsidRPr="003317E7" w:rsidRDefault="003317E7" w:rsidP="003317E7">
      <w:pPr>
        <w:ind w:left="720"/>
        <w:rPr>
          <w:rFonts w:asciiTheme="majorHAnsi" w:hAnsiTheme="majorHAnsi"/>
          <w:sz w:val="24"/>
          <w:szCs w:val="24"/>
        </w:rPr>
      </w:pPr>
    </w:p>
    <w:p w14:paraId="5B38BC84" w14:textId="77777777" w:rsidR="003317E7" w:rsidRPr="003317E7" w:rsidRDefault="003317E7" w:rsidP="003317E7">
      <w:pPr>
        <w:ind w:left="72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sz w:val="24"/>
          <w:szCs w:val="24"/>
        </w:rPr>
        <w:t>metabolic equivalents (METs)</w:t>
      </w:r>
    </w:p>
    <w:p w14:paraId="2AA4FE81" w14:textId="77777777" w:rsidR="003317E7" w:rsidRPr="003317E7" w:rsidRDefault="003317E7" w:rsidP="003317E7">
      <w:pPr>
        <w:ind w:left="360"/>
        <w:rPr>
          <w:rFonts w:asciiTheme="majorHAnsi" w:hAnsiTheme="majorHAnsi"/>
          <w:sz w:val="24"/>
          <w:szCs w:val="24"/>
        </w:rPr>
      </w:pPr>
    </w:p>
    <w:p w14:paraId="16C45995" w14:textId="77777777" w:rsidR="003317E7" w:rsidRPr="003317E7" w:rsidRDefault="003317E7" w:rsidP="003317E7">
      <w:pPr>
        <w:ind w:left="72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b/>
          <w:bCs/>
          <w:sz w:val="24"/>
          <w:szCs w:val="24"/>
        </w:rPr>
        <w:t>Progression</w:t>
      </w:r>
      <w:r w:rsidRPr="003317E7">
        <w:rPr>
          <w:rFonts w:asciiTheme="majorHAnsi" w:hAnsiTheme="majorHAnsi"/>
          <w:sz w:val="24"/>
          <w:szCs w:val="24"/>
        </w:rPr>
        <w:t xml:space="preserve"> – A gradual increase of 0.5-1.0 METs will be prescribed as tolerated with a MET goal established individually at initial evaluation session.</w:t>
      </w:r>
    </w:p>
    <w:p w14:paraId="05AD5DE2" w14:textId="77777777" w:rsidR="003317E7" w:rsidRPr="003317E7" w:rsidRDefault="003317E7" w:rsidP="003317E7">
      <w:pPr>
        <w:ind w:left="720"/>
        <w:rPr>
          <w:rFonts w:asciiTheme="majorHAnsi" w:hAnsiTheme="majorHAnsi"/>
          <w:sz w:val="24"/>
          <w:szCs w:val="24"/>
        </w:rPr>
      </w:pPr>
    </w:p>
    <w:p w14:paraId="66F755C8" w14:textId="77777777" w:rsidR="003317E7" w:rsidRPr="003317E7" w:rsidRDefault="003317E7" w:rsidP="003317E7">
      <w:pPr>
        <w:rPr>
          <w:rFonts w:asciiTheme="majorHAnsi" w:hAnsiTheme="majorHAnsi"/>
          <w:b/>
          <w:bCs/>
          <w:sz w:val="24"/>
          <w:szCs w:val="24"/>
        </w:rPr>
      </w:pPr>
      <w:r w:rsidRPr="003317E7">
        <w:rPr>
          <w:rFonts w:asciiTheme="majorHAnsi" w:hAnsiTheme="majorHAnsi"/>
          <w:b/>
          <w:bCs/>
          <w:sz w:val="24"/>
          <w:szCs w:val="24"/>
        </w:rPr>
        <w:t>Exercise Tolerance and Assessment Tools</w:t>
      </w:r>
    </w:p>
    <w:p w14:paraId="39A2B9B7" w14:textId="77777777" w:rsidR="003317E7" w:rsidRPr="003317E7" w:rsidRDefault="003317E7" w:rsidP="003317E7">
      <w:pPr>
        <w:rPr>
          <w:rFonts w:asciiTheme="majorHAnsi" w:hAnsiTheme="majorHAnsi"/>
          <w:sz w:val="24"/>
          <w:szCs w:val="24"/>
        </w:rPr>
      </w:pPr>
    </w:p>
    <w:p w14:paraId="32BB7613" w14:textId="77777777" w:rsidR="003317E7" w:rsidRDefault="003317E7" w:rsidP="003317E7">
      <w:pPr>
        <w:ind w:left="72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b/>
          <w:bCs/>
          <w:sz w:val="24"/>
          <w:szCs w:val="24"/>
        </w:rPr>
        <w:t>Exercise tolerance</w:t>
      </w:r>
      <w:r w:rsidRPr="003317E7">
        <w:rPr>
          <w:rFonts w:asciiTheme="majorHAnsi" w:hAnsiTheme="majorHAnsi"/>
          <w:sz w:val="24"/>
          <w:szCs w:val="24"/>
        </w:rPr>
        <w:t xml:space="preserve"> will be assessed by monitoring heart rate response, blood pressure response and Borg Rating of Perceived Exertion, with desired level being 11 to 13.</w:t>
      </w:r>
    </w:p>
    <w:p w14:paraId="5CAD9383" w14:textId="77777777" w:rsidR="003317E7" w:rsidRPr="003317E7" w:rsidRDefault="003317E7" w:rsidP="003317E7">
      <w:pPr>
        <w:ind w:left="720"/>
        <w:rPr>
          <w:rFonts w:asciiTheme="majorHAnsi" w:hAnsiTheme="majorHAnsi"/>
          <w:sz w:val="24"/>
          <w:szCs w:val="24"/>
        </w:rPr>
      </w:pPr>
    </w:p>
    <w:p w14:paraId="0A00F5EA" w14:textId="77777777" w:rsidR="003317E7" w:rsidRPr="003317E7" w:rsidRDefault="003317E7" w:rsidP="003317E7">
      <w:pPr>
        <w:ind w:left="72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b/>
          <w:bCs/>
          <w:sz w:val="24"/>
          <w:szCs w:val="24"/>
        </w:rPr>
        <w:t>Exercise heart rate</w:t>
      </w:r>
      <w:r w:rsidRPr="003317E7">
        <w:rPr>
          <w:rFonts w:asciiTheme="majorHAnsi" w:hAnsiTheme="majorHAnsi"/>
          <w:sz w:val="24"/>
          <w:szCs w:val="24"/>
        </w:rPr>
        <w:t xml:space="preserve"> – Taking into consideration the above information, an exercise heart rate guideline will be calculated. This applies to patients who are not taking a beta-blocker and who have been shown to tolerate the exercise heart rate without ischemia.</w:t>
      </w:r>
    </w:p>
    <w:p w14:paraId="61E6C602" w14:textId="77777777" w:rsidR="003317E7" w:rsidRPr="003317E7" w:rsidRDefault="003317E7" w:rsidP="003317E7">
      <w:pPr>
        <w:numPr>
          <w:ilvl w:val="1"/>
          <w:numId w:val="24"/>
        </w:numPr>
        <w:tabs>
          <w:tab w:val="clear" w:pos="1440"/>
          <w:tab w:val="num" w:pos="2160"/>
        </w:tabs>
        <w:ind w:left="216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sz w:val="24"/>
          <w:szCs w:val="24"/>
        </w:rPr>
        <w:t xml:space="preserve">Age-adjusted maximum heart rate multiplied by 60%-75% </w:t>
      </w:r>
    </w:p>
    <w:p w14:paraId="6D4716D0" w14:textId="77777777" w:rsidR="003317E7" w:rsidRPr="003317E7" w:rsidRDefault="003317E7" w:rsidP="003317E7">
      <w:pPr>
        <w:numPr>
          <w:ilvl w:val="1"/>
          <w:numId w:val="24"/>
        </w:numPr>
        <w:tabs>
          <w:tab w:val="clear" w:pos="1440"/>
          <w:tab w:val="num" w:pos="2160"/>
        </w:tabs>
        <w:ind w:left="216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sz w:val="24"/>
          <w:szCs w:val="24"/>
        </w:rPr>
        <w:t xml:space="preserve">Age-adjusted multiplied by 60%-80% if approved by physician </w:t>
      </w:r>
    </w:p>
    <w:p w14:paraId="5B430C77" w14:textId="77777777" w:rsidR="003317E7" w:rsidRPr="003317E7" w:rsidRDefault="003317E7" w:rsidP="003317E7">
      <w:pPr>
        <w:numPr>
          <w:ilvl w:val="1"/>
          <w:numId w:val="24"/>
        </w:numPr>
        <w:tabs>
          <w:tab w:val="clear" w:pos="1440"/>
          <w:tab w:val="num" w:pos="2160"/>
        </w:tabs>
        <w:ind w:left="216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sz w:val="24"/>
          <w:szCs w:val="24"/>
        </w:rPr>
        <w:t xml:space="preserve">20 to 30 above resting heart rate </w:t>
      </w:r>
    </w:p>
    <w:p w14:paraId="36422871" w14:textId="77777777" w:rsidR="003317E7" w:rsidRDefault="003317E7" w:rsidP="003317E7">
      <w:pPr>
        <w:numPr>
          <w:ilvl w:val="1"/>
          <w:numId w:val="24"/>
        </w:numPr>
        <w:tabs>
          <w:tab w:val="clear" w:pos="1440"/>
          <w:tab w:val="num" w:pos="2160"/>
        </w:tabs>
        <w:ind w:left="216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sz w:val="24"/>
          <w:szCs w:val="24"/>
        </w:rPr>
        <w:t>Graded stress test</w:t>
      </w:r>
    </w:p>
    <w:p w14:paraId="23165084" w14:textId="77777777" w:rsidR="003317E7" w:rsidRPr="003317E7" w:rsidRDefault="003317E7" w:rsidP="003317E7">
      <w:pPr>
        <w:numPr>
          <w:ilvl w:val="1"/>
          <w:numId w:val="24"/>
        </w:numPr>
        <w:tabs>
          <w:tab w:val="clear" w:pos="1440"/>
          <w:tab w:val="num" w:pos="2160"/>
        </w:tabs>
        <w:ind w:left="2160"/>
        <w:rPr>
          <w:rFonts w:asciiTheme="majorHAnsi" w:hAnsiTheme="majorHAnsi"/>
          <w:sz w:val="24"/>
          <w:szCs w:val="24"/>
        </w:rPr>
      </w:pPr>
    </w:p>
    <w:p w14:paraId="2A1BAD26" w14:textId="77777777" w:rsidR="003317E7" w:rsidRDefault="003317E7" w:rsidP="003317E7">
      <w:pPr>
        <w:ind w:left="72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b/>
          <w:bCs/>
          <w:sz w:val="24"/>
          <w:szCs w:val="24"/>
        </w:rPr>
        <w:t>Monitoring rate of perceived exertion</w:t>
      </w:r>
      <w:r w:rsidRPr="003317E7">
        <w:rPr>
          <w:rFonts w:asciiTheme="majorHAnsi" w:hAnsiTheme="majorHAnsi"/>
          <w:sz w:val="24"/>
          <w:szCs w:val="24"/>
        </w:rPr>
        <w:t xml:space="preserve"> is very useful. This is advantageous for many reasons: it is unaffected by negative chronotropic medications, unlike heart rate monitoring; it is quite reproducible across age, gender and cultural origin; and lastly, it only requires patient attunement to symptoms.</w:t>
      </w:r>
    </w:p>
    <w:p w14:paraId="02CE5271" w14:textId="77777777" w:rsidR="003317E7" w:rsidRPr="003317E7" w:rsidRDefault="003317E7" w:rsidP="003317E7">
      <w:pPr>
        <w:ind w:left="720"/>
        <w:rPr>
          <w:rFonts w:asciiTheme="majorHAnsi" w:hAnsiTheme="majorHAnsi"/>
          <w:sz w:val="24"/>
          <w:szCs w:val="24"/>
        </w:rPr>
      </w:pPr>
    </w:p>
    <w:p w14:paraId="403D5F0A" w14:textId="77777777" w:rsidR="003317E7" w:rsidRPr="003317E7" w:rsidRDefault="003317E7" w:rsidP="003317E7">
      <w:pPr>
        <w:ind w:left="720"/>
        <w:rPr>
          <w:rFonts w:asciiTheme="majorHAnsi" w:hAnsiTheme="majorHAnsi"/>
          <w:sz w:val="24"/>
          <w:szCs w:val="24"/>
        </w:rPr>
      </w:pPr>
      <w:r w:rsidRPr="003317E7">
        <w:rPr>
          <w:rFonts w:asciiTheme="majorHAnsi" w:hAnsiTheme="majorHAnsi"/>
          <w:b/>
          <w:bCs/>
          <w:sz w:val="24"/>
          <w:szCs w:val="24"/>
        </w:rPr>
        <w:t>Monitoring METs</w:t>
      </w:r>
      <w:r w:rsidRPr="003317E7">
        <w:rPr>
          <w:rFonts w:asciiTheme="majorHAnsi" w:hAnsiTheme="majorHAnsi"/>
          <w:sz w:val="24"/>
          <w:szCs w:val="24"/>
        </w:rPr>
        <w:t xml:space="preserve"> – Monitoring is determined by the patient's post-myocardial infarction exercise tolerance test and/or in rehabilitation and is highly individual.</w:t>
      </w:r>
    </w:p>
    <w:p w14:paraId="0D73E000" w14:textId="77777777" w:rsidR="00586E8B" w:rsidRDefault="00586E8B" w:rsidP="003317E7">
      <w:pPr>
        <w:ind w:left="720" w:hanging="720"/>
      </w:pPr>
    </w:p>
    <w:sectPr w:rsidR="00586E8B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E7BE9" w14:textId="77777777" w:rsidR="00092622" w:rsidRDefault="00092622" w:rsidP="00372AB3">
      <w:r>
        <w:separator/>
      </w:r>
    </w:p>
  </w:endnote>
  <w:endnote w:type="continuationSeparator" w:id="0">
    <w:p w14:paraId="34BDC923" w14:textId="77777777" w:rsidR="00092622" w:rsidRDefault="00092622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93AD4" w14:textId="4952560B" w:rsidR="009B7631" w:rsidRDefault="009631AB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 8/20</w:t>
    </w:r>
    <w:r w:rsidR="00B41C30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 w:rsidR="009B7631">
      <w:rPr>
        <w:rFonts w:asciiTheme="majorHAnsi" w:hAnsiTheme="majorHAnsi"/>
      </w:rPr>
      <w:ptab w:relativeTo="margin" w:alignment="right" w:leader="none"/>
    </w:r>
    <w:r w:rsidR="009B7631">
      <w:rPr>
        <w:rFonts w:asciiTheme="majorHAnsi" w:hAnsiTheme="majorHAnsi"/>
      </w:rPr>
      <w:t xml:space="preserve">Page </w:t>
    </w:r>
    <w:r w:rsidR="00B41C30">
      <w:fldChar w:fldCharType="begin"/>
    </w:r>
    <w:r w:rsidR="00B41C30">
      <w:instrText xml:space="preserve"> PAGE   \* MERGEFORMAT </w:instrText>
    </w:r>
    <w:r w:rsidR="00B41C30">
      <w:fldChar w:fldCharType="separate"/>
    </w:r>
    <w:r w:rsidR="00701EA3" w:rsidRPr="00701EA3">
      <w:rPr>
        <w:rFonts w:asciiTheme="majorHAnsi" w:hAnsiTheme="majorHAnsi"/>
        <w:noProof/>
      </w:rPr>
      <w:t>1</w:t>
    </w:r>
    <w:r w:rsidR="00B41C30">
      <w:rPr>
        <w:rFonts w:asciiTheme="majorHAnsi" w:hAnsiTheme="majorHAnsi"/>
        <w:noProof/>
      </w:rPr>
      <w:fldChar w:fldCharType="end"/>
    </w:r>
  </w:p>
  <w:p w14:paraId="76E2C1EF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5108E" w14:textId="77777777" w:rsidR="00092622" w:rsidRDefault="00092622" w:rsidP="00372AB3">
      <w:r>
        <w:separator/>
      </w:r>
    </w:p>
  </w:footnote>
  <w:footnote w:type="continuationSeparator" w:id="0">
    <w:p w14:paraId="5ADDC7ED" w14:textId="77777777" w:rsidR="00092622" w:rsidRDefault="00092622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88C30" w14:textId="39E32478" w:rsidR="00B41C30" w:rsidRDefault="004800A4" w:rsidP="00B41C30">
    <w:r>
      <w:rPr>
        <w:noProof/>
        <w:color w:val="042126"/>
        <w:sz w:val="20"/>
        <w:szCs w:val="20"/>
      </w:rPr>
      <w:drawing>
        <wp:inline distT="0" distB="0" distL="0" distR="0" wp14:anchorId="02D885A1" wp14:editId="6992A57A">
          <wp:extent cx="1295400" cy="371475"/>
          <wp:effectExtent l="0" t="0" r="0" b="0"/>
          <wp:docPr id="8178456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41C30">
      <w:t xml:space="preserve">                                                            </w:t>
    </w:r>
    <w:r w:rsidR="00B41C30">
      <w:rPr>
        <w:noProof/>
      </w:rPr>
      <w:drawing>
        <wp:inline distT="0" distB="0" distL="0" distR="0" wp14:anchorId="516C2A4D" wp14:editId="3D9FAC8E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4DFD8A" w14:textId="576A19C6" w:rsidR="00BB0DD0" w:rsidRDefault="00BB0DD0" w:rsidP="00B41C30">
    <w:pPr>
      <w:pStyle w:val="Header"/>
    </w:pPr>
  </w:p>
  <w:p w14:paraId="77045CE3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7C6465F"/>
    <w:multiLevelType w:val="multilevel"/>
    <w:tmpl w:val="B59A437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4D087C9A"/>
    <w:multiLevelType w:val="multilevel"/>
    <w:tmpl w:val="B59A4372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0070568">
    <w:abstractNumId w:val="15"/>
  </w:num>
  <w:num w:numId="2" w16cid:durableId="1479031924">
    <w:abstractNumId w:val="22"/>
  </w:num>
  <w:num w:numId="3" w16cid:durableId="776675253">
    <w:abstractNumId w:val="5"/>
  </w:num>
  <w:num w:numId="4" w16cid:durableId="51075804">
    <w:abstractNumId w:val="6"/>
  </w:num>
  <w:num w:numId="5" w16cid:durableId="1473062751">
    <w:abstractNumId w:val="8"/>
  </w:num>
  <w:num w:numId="6" w16cid:durableId="1079595217">
    <w:abstractNumId w:val="3"/>
  </w:num>
  <w:num w:numId="7" w16cid:durableId="2001616486">
    <w:abstractNumId w:val="18"/>
  </w:num>
  <w:num w:numId="8" w16cid:durableId="2036417093">
    <w:abstractNumId w:val="20"/>
  </w:num>
  <w:num w:numId="9" w16cid:durableId="1295334918">
    <w:abstractNumId w:val="16"/>
  </w:num>
  <w:num w:numId="10" w16cid:durableId="530146217">
    <w:abstractNumId w:val="21"/>
  </w:num>
  <w:num w:numId="11" w16cid:durableId="948390086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245667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0265512">
    <w:abstractNumId w:val="0"/>
  </w:num>
  <w:num w:numId="14" w16cid:durableId="1109348045">
    <w:abstractNumId w:val="19"/>
  </w:num>
  <w:num w:numId="15" w16cid:durableId="1554729782">
    <w:abstractNumId w:val="13"/>
  </w:num>
  <w:num w:numId="16" w16cid:durableId="4401792">
    <w:abstractNumId w:val="9"/>
  </w:num>
  <w:num w:numId="17" w16cid:durableId="380329740">
    <w:abstractNumId w:val="7"/>
  </w:num>
  <w:num w:numId="18" w16cid:durableId="6365741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83727617">
    <w:abstractNumId w:val="10"/>
  </w:num>
  <w:num w:numId="20" w16cid:durableId="1583416601">
    <w:abstractNumId w:val="14"/>
  </w:num>
  <w:num w:numId="21" w16cid:durableId="1807356527">
    <w:abstractNumId w:val="17"/>
  </w:num>
  <w:num w:numId="22" w16cid:durableId="1473137219">
    <w:abstractNumId w:val="12"/>
  </w:num>
  <w:num w:numId="23" w16cid:durableId="96369939">
    <w:abstractNumId w:val="4"/>
  </w:num>
  <w:num w:numId="24" w16cid:durableId="23548058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44A5"/>
    <w:rsid w:val="00091326"/>
    <w:rsid w:val="00092622"/>
    <w:rsid w:val="00093BB2"/>
    <w:rsid w:val="00094A79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B01F6"/>
    <w:rsid w:val="002B798E"/>
    <w:rsid w:val="002D077C"/>
    <w:rsid w:val="002E5700"/>
    <w:rsid w:val="002F404C"/>
    <w:rsid w:val="002F4EEE"/>
    <w:rsid w:val="00302322"/>
    <w:rsid w:val="00311761"/>
    <w:rsid w:val="003317E7"/>
    <w:rsid w:val="0033336A"/>
    <w:rsid w:val="00345C41"/>
    <w:rsid w:val="00346A2E"/>
    <w:rsid w:val="00357BB7"/>
    <w:rsid w:val="00372AB3"/>
    <w:rsid w:val="0039588D"/>
    <w:rsid w:val="00395C05"/>
    <w:rsid w:val="003A7C8C"/>
    <w:rsid w:val="003B0754"/>
    <w:rsid w:val="00441F58"/>
    <w:rsid w:val="00476DCD"/>
    <w:rsid w:val="004800A4"/>
    <w:rsid w:val="004C6D8A"/>
    <w:rsid w:val="004F241B"/>
    <w:rsid w:val="0052384D"/>
    <w:rsid w:val="00524FA1"/>
    <w:rsid w:val="00531562"/>
    <w:rsid w:val="00533425"/>
    <w:rsid w:val="00547588"/>
    <w:rsid w:val="00583198"/>
    <w:rsid w:val="00586E8B"/>
    <w:rsid w:val="00590B9B"/>
    <w:rsid w:val="005936A1"/>
    <w:rsid w:val="005A2FD7"/>
    <w:rsid w:val="005A5CF2"/>
    <w:rsid w:val="005E1F0A"/>
    <w:rsid w:val="005E1F53"/>
    <w:rsid w:val="005F085D"/>
    <w:rsid w:val="006008D8"/>
    <w:rsid w:val="0062143C"/>
    <w:rsid w:val="00685542"/>
    <w:rsid w:val="006B45CC"/>
    <w:rsid w:val="006C17DF"/>
    <w:rsid w:val="006D201B"/>
    <w:rsid w:val="006D4D61"/>
    <w:rsid w:val="006E0DF0"/>
    <w:rsid w:val="00701EA3"/>
    <w:rsid w:val="007318F0"/>
    <w:rsid w:val="00736FEA"/>
    <w:rsid w:val="007469C8"/>
    <w:rsid w:val="00765C4D"/>
    <w:rsid w:val="00766F77"/>
    <w:rsid w:val="007775E5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043A"/>
    <w:rsid w:val="0093177C"/>
    <w:rsid w:val="00932FC5"/>
    <w:rsid w:val="00935162"/>
    <w:rsid w:val="00951D81"/>
    <w:rsid w:val="00952822"/>
    <w:rsid w:val="009631AB"/>
    <w:rsid w:val="00985A44"/>
    <w:rsid w:val="009B0A6B"/>
    <w:rsid w:val="009B5303"/>
    <w:rsid w:val="009B7631"/>
    <w:rsid w:val="00A33B50"/>
    <w:rsid w:val="00A35294"/>
    <w:rsid w:val="00A527DD"/>
    <w:rsid w:val="00A52A8D"/>
    <w:rsid w:val="00A85296"/>
    <w:rsid w:val="00AE5EFD"/>
    <w:rsid w:val="00B013E0"/>
    <w:rsid w:val="00B41C30"/>
    <w:rsid w:val="00B7029C"/>
    <w:rsid w:val="00BA0644"/>
    <w:rsid w:val="00BB0DD0"/>
    <w:rsid w:val="00C01B4A"/>
    <w:rsid w:val="00C256A0"/>
    <w:rsid w:val="00C46D7E"/>
    <w:rsid w:val="00C472C2"/>
    <w:rsid w:val="00C66241"/>
    <w:rsid w:val="00C711D0"/>
    <w:rsid w:val="00C95D4A"/>
    <w:rsid w:val="00CA1EB6"/>
    <w:rsid w:val="00CA409F"/>
    <w:rsid w:val="00CB3606"/>
    <w:rsid w:val="00CE38B4"/>
    <w:rsid w:val="00D209EB"/>
    <w:rsid w:val="00D24345"/>
    <w:rsid w:val="00D5050D"/>
    <w:rsid w:val="00D96439"/>
    <w:rsid w:val="00DA3488"/>
    <w:rsid w:val="00DB1C61"/>
    <w:rsid w:val="00DB647F"/>
    <w:rsid w:val="00DC6B09"/>
    <w:rsid w:val="00DD2C02"/>
    <w:rsid w:val="00DD46D1"/>
    <w:rsid w:val="00DE5B5E"/>
    <w:rsid w:val="00DE7348"/>
    <w:rsid w:val="00DE757F"/>
    <w:rsid w:val="00E04DF1"/>
    <w:rsid w:val="00E176E9"/>
    <w:rsid w:val="00E17F36"/>
    <w:rsid w:val="00E22EEA"/>
    <w:rsid w:val="00E233F1"/>
    <w:rsid w:val="00EC20B7"/>
    <w:rsid w:val="00ED38FE"/>
    <w:rsid w:val="00ED4498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C671B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70E50AA4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508B8-8DE0-499C-B736-0B5CF83EC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2021-08-04T19:46:00Z</cp:lastPrinted>
  <dcterms:created xsi:type="dcterms:W3CDTF">2012-09-30T20:24:00Z</dcterms:created>
  <dcterms:modified xsi:type="dcterms:W3CDTF">2024-05-21T17:26:00Z</dcterms:modified>
</cp:coreProperties>
</file>