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4184" w14:textId="29AAD067" w:rsidR="00CD0BED" w:rsidRDefault="00B141BC">
      <w:pPr>
        <w:spacing w:before="11" w:after="340"/>
        <w:ind w:right="29"/>
        <w:textAlignment w:val="baseline"/>
      </w:pPr>
      <w:r>
        <w:rPr>
          <w:noProof/>
        </w:rPr>
        <w:drawing>
          <wp:inline distT="0" distB="0" distL="0" distR="0" wp14:anchorId="0C3F28A9" wp14:editId="551BE19B">
            <wp:extent cx="6076950" cy="752475"/>
            <wp:effectExtent l="0" t="0" r="0" b="9525"/>
            <wp:docPr id="1408849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04185" w14:textId="77777777" w:rsidR="00CD0BED" w:rsidRDefault="00CD0BED">
      <w:pPr>
        <w:spacing w:before="11" w:after="340"/>
        <w:sectPr w:rsidR="00CD0BED">
          <w:pgSz w:w="12240" w:h="15840"/>
          <w:pgMar w:top="680" w:right="1469" w:bottom="1444" w:left="691" w:header="720" w:footer="720" w:gutter="0"/>
          <w:cols w:space="720"/>
        </w:sectPr>
      </w:pPr>
    </w:p>
    <w:p w14:paraId="00C04186" w14:textId="77777777" w:rsidR="00CD0BED" w:rsidRDefault="0035574A">
      <w:pPr>
        <w:spacing w:before="2" w:line="318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Moffitt Hospital Services</w:t>
      </w:r>
    </w:p>
    <w:p w14:paraId="00C04187" w14:textId="77777777" w:rsidR="00CD0BED" w:rsidRDefault="0035574A">
      <w:pPr>
        <w:spacing w:before="317" w:line="320" w:lineRule="exact"/>
        <w:ind w:right="504"/>
        <w:jc w:val="both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The Hillsborough County Health Care Plan has contracted with Moffitt Hospital to provide needed cancer services for our clients. Effective December 9, </w:t>
      </w:r>
      <w:proofErr w:type="gramStart"/>
      <w:r>
        <w:rPr>
          <w:rFonts w:eastAsia="Times New Roman"/>
          <w:color w:val="000000"/>
          <w:sz w:val="28"/>
        </w:rPr>
        <w:t>2016</w:t>
      </w:r>
      <w:proofErr w:type="gramEnd"/>
      <w:r>
        <w:rPr>
          <w:rFonts w:eastAsia="Times New Roman"/>
          <w:color w:val="000000"/>
          <w:sz w:val="28"/>
        </w:rPr>
        <w:t xml:space="preserve"> Moffitt Hospital will be providing the following hospital-based inpatient and outpatient medical services to HCHCP clients:</w:t>
      </w:r>
    </w:p>
    <w:p w14:paraId="00C04188" w14:textId="77777777" w:rsidR="00CD0BED" w:rsidRDefault="0035574A">
      <w:pPr>
        <w:tabs>
          <w:tab w:val="left" w:pos="720"/>
        </w:tabs>
        <w:spacing w:before="353" w:line="319" w:lineRule="exact"/>
        <w:ind w:left="720" w:right="936" w:hanging="432"/>
        <w:textAlignment w:val="baseline"/>
        <w:rPr>
          <w:rFonts w:ascii="Symbol" w:eastAsia="Symbol" w:hAnsi="Symbol"/>
          <w:color w:val="000000"/>
          <w:sz w:val="30"/>
        </w:rPr>
      </w:pPr>
      <w:r>
        <w:rPr>
          <w:rFonts w:ascii="Symbol" w:eastAsia="Symbol" w:hAnsi="Symbol"/>
          <w:color w:val="000000"/>
          <w:sz w:val="30"/>
        </w:rPr>
        <w:t>.</w:t>
      </w:r>
      <w:r>
        <w:rPr>
          <w:rFonts w:eastAsia="Times New Roman"/>
          <w:color w:val="000000"/>
          <w:sz w:val="28"/>
        </w:rPr>
        <w:tab/>
        <w:t>Inclusive inpatient hospital stays, outpatient surgery services, diagnostic services, including but not limited to radiology and laboratory services, observation, and all hospital-based professional services.</w:t>
      </w:r>
    </w:p>
    <w:p w14:paraId="00C04189" w14:textId="77777777" w:rsidR="00CD0BED" w:rsidRDefault="0035574A">
      <w:pPr>
        <w:tabs>
          <w:tab w:val="left" w:pos="720"/>
        </w:tabs>
        <w:spacing w:before="295" w:line="373" w:lineRule="exact"/>
        <w:ind w:left="288"/>
        <w:textAlignment w:val="baseline"/>
        <w:rPr>
          <w:rFonts w:ascii="Symbol" w:eastAsia="Symbol" w:hAnsi="Symbol"/>
          <w:color w:val="000000"/>
          <w:sz w:val="30"/>
        </w:rPr>
      </w:pPr>
      <w:r>
        <w:rPr>
          <w:rFonts w:ascii="Symbol" w:eastAsia="Symbol" w:hAnsi="Symbol"/>
          <w:color w:val="000000"/>
          <w:sz w:val="30"/>
        </w:rPr>
        <w:t>.</w:t>
      </w:r>
      <w:r>
        <w:rPr>
          <w:rFonts w:eastAsia="Times New Roman"/>
          <w:color w:val="000000"/>
          <w:sz w:val="28"/>
        </w:rPr>
        <w:tab/>
        <w:t>Chemotherapy and radiation therapy.</w:t>
      </w:r>
    </w:p>
    <w:p w14:paraId="00C0418A" w14:textId="77777777" w:rsidR="00CD0BED" w:rsidRDefault="0035574A">
      <w:pPr>
        <w:spacing w:before="326" w:line="316" w:lineRule="exact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Hospital and Physician Medical Services will be provided for the following diagnoses:</w:t>
      </w:r>
    </w:p>
    <w:p w14:paraId="00C0418B" w14:textId="77777777" w:rsidR="00CD0BED" w:rsidRDefault="0035574A">
      <w:pPr>
        <w:numPr>
          <w:ilvl w:val="0"/>
          <w:numId w:val="1"/>
        </w:numPr>
        <w:spacing w:before="328" w:line="316" w:lineRule="exact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Neuroendocrine cancer</w:t>
      </w:r>
    </w:p>
    <w:p w14:paraId="00C0418C" w14:textId="77777777" w:rsidR="00CD0BED" w:rsidRDefault="0035574A">
      <w:pPr>
        <w:numPr>
          <w:ilvl w:val="0"/>
          <w:numId w:val="1"/>
        </w:numPr>
        <w:spacing w:line="316" w:lineRule="exact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Sarcoma</w:t>
      </w:r>
    </w:p>
    <w:p w14:paraId="00C0418D" w14:textId="77777777" w:rsidR="00CD0BED" w:rsidRDefault="0035574A">
      <w:pPr>
        <w:numPr>
          <w:ilvl w:val="0"/>
          <w:numId w:val="1"/>
        </w:numPr>
        <w:spacing w:before="11" w:line="316" w:lineRule="exact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Endocrine cancers</w:t>
      </w:r>
    </w:p>
    <w:p w14:paraId="00C0418E" w14:textId="77777777" w:rsidR="00CD0BED" w:rsidRDefault="0035574A">
      <w:pPr>
        <w:numPr>
          <w:ilvl w:val="0"/>
          <w:numId w:val="1"/>
        </w:numPr>
        <w:spacing w:before="5" w:line="316" w:lineRule="exact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Acute Leukemias</w:t>
      </w:r>
    </w:p>
    <w:p w14:paraId="00C0418F" w14:textId="77777777" w:rsidR="00CD0BED" w:rsidRDefault="0035574A">
      <w:pPr>
        <w:numPr>
          <w:ilvl w:val="0"/>
          <w:numId w:val="1"/>
        </w:numPr>
        <w:spacing w:before="11" w:line="316" w:lineRule="exact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Triple Negative Breast Cancer</w:t>
      </w:r>
    </w:p>
    <w:p w14:paraId="00C04190" w14:textId="77777777" w:rsidR="00CD0BED" w:rsidRDefault="0035574A">
      <w:pPr>
        <w:numPr>
          <w:ilvl w:val="0"/>
          <w:numId w:val="1"/>
        </w:numPr>
        <w:spacing w:before="1" w:line="316" w:lineRule="exact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Mesothelioma</w:t>
      </w:r>
    </w:p>
    <w:p w14:paraId="00C04191" w14:textId="44B52FF8" w:rsidR="00CD0BED" w:rsidRDefault="0035574A">
      <w:pPr>
        <w:spacing w:before="331" w:after="219" w:line="312" w:lineRule="exact"/>
        <w:ind w:right="72"/>
        <w:jc w:val="both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The list of approved diagnosis codes </w:t>
      </w:r>
      <w:proofErr w:type="gramStart"/>
      <w:r>
        <w:rPr>
          <w:rFonts w:eastAsia="Times New Roman"/>
          <w:color w:val="000000"/>
          <w:sz w:val="28"/>
        </w:rPr>
        <w:t>are</w:t>
      </w:r>
      <w:proofErr w:type="gramEnd"/>
      <w:r>
        <w:rPr>
          <w:rFonts w:eastAsia="Times New Roman"/>
          <w:color w:val="000000"/>
          <w:sz w:val="28"/>
        </w:rPr>
        <w:t xml:space="preserve"> listed on the </w:t>
      </w:r>
      <w:r w:rsidR="005A241D">
        <w:rPr>
          <w:rFonts w:eastAsia="Times New Roman"/>
          <w:color w:val="000000"/>
          <w:sz w:val="28"/>
        </w:rPr>
        <w:t>Acentra Health</w:t>
      </w:r>
      <w:r>
        <w:rPr>
          <w:rFonts w:eastAsia="Times New Roman"/>
          <w:color w:val="000000"/>
          <w:sz w:val="28"/>
        </w:rPr>
        <w:t xml:space="preserve"> website under the tab ‘Providers’ – tab – ‘Moffitt Dx Codes’.</w:t>
      </w:r>
    </w:p>
    <w:p w14:paraId="00C04192" w14:textId="75FE1D13" w:rsidR="00CD0BED" w:rsidRDefault="00CD0BED">
      <w:pPr>
        <w:spacing w:after="350"/>
        <w:ind w:left="1359" w:right="2419"/>
        <w:textAlignment w:val="baseline"/>
      </w:pPr>
    </w:p>
    <w:p w14:paraId="00C04193" w14:textId="77777777" w:rsidR="00CD0BED" w:rsidRDefault="0035574A">
      <w:pPr>
        <w:spacing w:line="321" w:lineRule="exact"/>
        <w:ind w:right="216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Services to treat diagnoses not listed above shall be requested by the County on a </w:t>
      </w:r>
      <w:proofErr w:type="gramStart"/>
      <w:r>
        <w:rPr>
          <w:rFonts w:eastAsia="Times New Roman"/>
          <w:color w:val="000000"/>
          <w:sz w:val="28"/>
        </w:rPr>
        <w:t>case by case</w:t>
      </w:r>
      <w:proofErr w:type="gramEnd"/>
      <w:r>
        <w:rPr>
          <w:rFonts w:eastAsia="Times New Roman"/>
          <w:color w:val="000000"/>
          <w:sz w:val="28"/>
        </w:rPr>
        <w:t xml:space="preserve"> basis.</w:t>
      </w:r>
    </w:p>
    <w:p w14:paraId="00C04194" w14:textId="77777777" w:rsidR="00CD0BED" w:rsidRDefault="00CD0BED">
      <w:pPr>
        <w:sectPr w:rsidR="00CD0BED">
          <w:type w:val="continuous"/>
          <w:pgSz w:w="12240" w:h="15840"/>
          <w:pgMar w:top="680" w:right="725" w:bottom="1444" w:left="715" w:header="720" w:footer="720" w:gutter="0"/>
          <w:cols w:space="720"/>
        </w:sectPr>
      </w:pPr>
    </w:p>
    <w:p w14:paraId="00C04195" w14:textId="547C746D" w:rsidR="00CD0BED" w:rsidRDefault="005A241D">
      <w:pPr>
        <w:spacing w:before="11" w:after="427"/>
        <w:ind w:left="45" w:right="53"/>
        <w:textAlignment w:val="baseline"/>
      </w:pPr>
      <w:r>
        <w:rPr>
          <w:noProof/>
        </w:rPr>
        <w:lastRenderedPageBreak/>
        <w:drawing>
          <wp:inline distT="0" distB="0" distL="0" distR="0" wp14:anchorId="696C6744" wp14:editId="63CD427C">
            <wp:extent cx="6076950" cy="752475"/>
            <wp:effectExtent l="0" t="0" r="0" b="9525"/>
            <wp:docPr id="14577130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04196" w14:textId="77777777" w:rsidR="00CD0BED" w:rsidRDefault="00CD0BED">
      <w:pPr>
        <w:spacing w:before="11" w:after="427"/>
        <w:sectPr w:rsidR="00CD0BED">
          <w:pgSz w:w="12240" w:h="15840"/>
          <w:pgMar w:top="680" w:right="1507" w:bottom="924" w:left="608" w:header="720" w:footer="720" w:gutter="0"/>
          <w:cols w:space="720"/>
        </w:sectPr>
      </w:pPr>
    </w:p>
    <w:p w14:paraId="1DBEED1A" w14:textId="77777777" w:rsidR="00DE3720" w:rsidRDefault="00972570" w:rsidP="00DE3720">
      <w:pPr>
        <w:spacing w:after="4874" w:line="290" w:lineRule="exact"/>
        <w:ind w:right="144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Acentra Health</w:t>
      </w:r>
      <w:r w:rsidR="0035574A">
        <w:rPr>
          <w:rFonts w:eastAsia="Times New Roman"/>
          <w:color w:val="000000"/>
          <w:sz w:val="28"/>
        </w:rPr>
        <w:t xml:space="preserve"> conducts medical necessity reviews on behalf of the County. Only certain CPT codes require prior authorization from </w:t>
      </w:r>
      <w:r>
        <w:rPr>
          <w:rFonts w:eastAsia="Times New Roman"/>
          <w:color w:val="000000"/>
          <w:sz w:val="28"/>
        </w:rPr>
        <w:t>Acentra Health</w:t>
      </w:r>
      <w:r w:rsidR="0035574A">
        <w:rPr>
          <w:rFonts w:eastAsia="Times New Roman"/>
          <w:color w:val="000000"/>
          <w:sz w:val="28"/>
        </w:rPr>
        <w:t xml:space="preserve">. The list of CPT codes can be found at </w:t>
      </w:r>
      <w:proofErr w:type="gramStart"/>
      <w:r>
        <w:rPr>
          <w:rFonts w:eastAsia="Times New Roman"/>
          <w:color w:val="000000"/>
          <w:sz w:val="28"/>
        </w:rPr>
        <w:t>HCHCP.acentra.com</w:t>
      </w:r>
      <w:proofErr w:type="gramEnd"/>
    </w:p>
    <w:p w14:paraId="00C04199" w14:textId="0E138416" w:rsidR="00CD0BED" w:rsidRDefault="0035574A" w:rsidP="00DE3720">
      <w:pPr>
        <w:spacing w:after="4874" w:line="290" w:lineRule="exact"/>
        <w:ind w:right="144"/>
        <w:textAlignment w:val="baseline"/>
        <w:rPr>
          <w:rFonts w:eastAsia="Times New Roman"/>
          <w:b/>
          <w:color w:val="000000"/>
          <w:spacing w:val="-3"/>
          <w:sz w:val="28"/>
        </w:rPr>
      </w:pPr>
      <w:r>
        <w:rPr>
          <w:rFonts w:eastAsia="Times New Roman"/>
          <w:b/>
          <w:color w:val="000000"/>
          <w:spacing w:val="-3"/>
          <w:sz w:val="28"/>
        </w:rPr>
        <w:t xml:space="preserve">Entering a referral to a Moffitt Cancer Specialist </w:t>
      </w:r>
      <w:r>
        <w:rPr>
          <w:rFonts w:eastAsia="Times New Roman"/>
          <w:color w:val="000000"/>
          <w:spacing w:val="-3"/>
          <w:sz w:val="28"/>
        </w:rPr>
        <w:t>Referral to a Specialist-follow the usual steps when entering a referral</w:t>
      </w:r>
    </w:p>
    <w:p w14:paraId="00C0419A" w14:textId="77777777" w:rsidR="00CD0BED" w:rsidRDefault="0035574A">
      <w:pPr>
        <w:spacing w:before="172" w:after="79" w:line="347" w:lineRule="exact"/>
        <w:ind w:left="72" w:right="72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When searching for the servicing/specialist physician for the member to seen at Moffitt Cancer Center, conduct a provider search using NPI or Name. When the search results display- select </w:t>
      </w:r>
      <w:r>
        <w:rPr>
          <w:rFonts w:eastAsia="Times New Roman"/>
          <w:color w:val="000000"/>
          <w:sz w:val="28"/>
        </w:rPr>
        <w:lastRenderedPageBreak/>
        <w:t xml:space="preserve">the physician with the </w:t>
      </w:r>
      <w:r>
        <w:rPr>
          <w:rFonts w:eastAsia="Times New Roman"/>
          <w:b/>
          <w:color w:val="000000"/>
          <w:sz w:val="28"/>
        </w:rPr>
        <w:t>address listed as ‘MOFFITT CANCER CENTER’</w:t>
      </w:r>
      <w:r>
        <w:rPr>
          <w:rFonts w:eastAsia="Times New Roman"/>
          <w:color w:val="000000"/>
          <w:sz w:val="28"/>
        </w:rPr>
        <w:t>- see example below. Click Select.</w:t>
      </w:r>
    </w:p>
    <w:p w14:paraId="00C0419B" w14:textId="77777777" w:rsidR="00CD0BED" w:rsidRDefault="0035574A">
      <w:pPr>
        <w:spacing w:after="215"/>
        <w:ind w:left="1888" w:right="3195"/>
        <w:textAlignment w:val="baseline"/>
      </w:pPr>
      <w:r>
        <w:rPr>
          <w:noProof/>
        </w:rPr>
        <w:drawing>
          <wp:inline distT="0" distB="0" distL="0" distR="0" wp14:anchorId="00C041A5" wp14:editId="00C041A6">
            <wp:extent cx="3630295" cy="2087880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419C" w14:textId="7C11CF63" w:rsidR="00CD0BED" w:rsidRDefault="0035574A">
      <w:pPr>
        <w:spacing w:line="327" w:lineRule="exact"/>
        <w:ind w:left="72" w:right="360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If you have any questions related to the submission of a prior authorization review, you may contact </w:t>
      </w:r>
      <w:r w:rsidR="00DE3720">
        <w:rPr>
          <w:rFonts w:eastAsia="Times New Roman"/>
          <w:color w:val="000000"/>
          <w:sz w:val="28"/>
        </w:rPr>
        <w:t>Acentra Health</w:t>
      </w:r>
      <w:r>
        <w:rPr>
          <w:rFonts w:eastAsia="Times New Roman"/>
          <w:color w:val="000000"/>
          <w:sz w:val="28"/>
        </w:rPr>
        <w:t>’s Provider Service Department at: 866-495-8388.</w:t>
      </w:r>
    </w:p>
    <w:sectPr w:rsidR="00CD0BED">
      <w:type w:val="continuous"/>
      <w:pgSz w:w="12240" w:h="15840"/>
      <w:pgMar w:top="680" w:right="832" w:bottom="924" w:left="6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041AB" w14:textId="77777777" w:rsidR="0035574A" w:rsidRDefault="0035574A">
      <w:r>
        <w:separator/>
      </w:r>
    </w:p>
  </w:endnote>
  <w:endnote w:type="continuationSeparator" w:id="0">
    <w:p w14:paraId="00C041AD" w14:textId="77777777" w:rsidR="0035574A" w:rsidRDefault="0035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041A7" w14:textId="77777777" w:rsidR="00CD0BED" w:rsidRDefault="00CD0BED"/>
  </w:footnote>
  <w:footnote w:type="continuationSeparator" w:id="0">
    <w:p w14:paraId="00C041A8" w14:textId="77777777" w:rsidR="00CD0BED" w:rsidRDefault="0035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D4C5B"/>
    <w:multiLevelType w:val="multilevel"/>
    <w:tmpl w:val="E24E707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468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ED"/>
    <w:rsid w:val="00001C47"/>
    <w:rsid w:val="0035574A"/>
    <w:rsid w:val="005A241D"/>
    <w:rsid w:val="00972570"/>
    <w:rsid w:val="00B141BC"/>
    <w:rsid w:val="00CD0BED"/>
    <w:rsid w:val="00D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C04184"/>
  <w15:docId w15:val="{0D59153D-7899-4481-9B68-06E62C28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Moffitt Announcement and Referral Processing</dc:title>
  <dc:creator>jcking</dc:creator>
  <cp:lastModifiedBy>Rachael Galante</cp:lastModifiedBy>
  <cp:revision>2</cp:revision>
  <dcterms:created xsi:type="dcterms:W3CDTF">2024-05-21T16:39:00Z</dcterms:created>
  <dcterms:modified xsi:type="dcterms:W3CDTF">2024-05-21T16:39:00Z</dcterms:modified>
</cp:coreProperties>
</file>